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Distribuição por dependência à execução de título extrajudicial n  (...).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advogados subscritores, conforme instrumento de mandato anexo (documento 1), vem, respeitosamente, perante Vossa Excelência, opor em face de (...) os presentes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EMBARGOS À EXECUÇÃO, COM PEDIDO DE EFEITO SUSPENSIVO (ART. 919, § 1º, DO CPC)</w:t>
      </w:r>
      <w:r/>
    </w:p>
    <w:p>
      <w:pPr>
        <w:pStyle w:val="Corpodotexto"/>
        <w:jc w:val="center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o que faz com fundamento nos arts. 914 e seguintes do Código de Processo Civil e pelos motivos de fato e de direito a seguir expostos.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subscritor instrui os presentes embargos com a cópia integral execução que se embarga (documento 2), declarando-as autênticas nos termos do § 1º do art. 914 do CPC.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Insta esclarecer que, ao ser citada na pessoa de seu sócio, o Sr. oficial de justiça o intimou para oferecer bem à penhora, o que foi prontamente atendido.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Segue assim a descrição do imóvel indicado, de propriedade do executado e cuja matrícula se anexa (documento 3): (…)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EXEQUENTE CARECEDOR DETÍTULO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Preliminarmente, cumpre informar que esta execução  deveria  ter sua inicial indeferida de pronto (art. 485, I, do CPC), tendo em vista que o pleito para cobrança de comissão de corretagem não comporta execução de título extrajudicial, mas ação ordinária de cobrança.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Outrossim, o embargado se pauta em “instrumento particular de contrato de compromisso de compra e venda” do qual não fez parte (fls....da execução – documento 2).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Ora, o instrumento que supostamente empresta suporte à   vertente execução sequer teve o embargado como parte, mas, apenas, como anuente, faltando ao exequente, por esta razão, título passível de execução.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 mais a mais, tratando-se de contrato bilateral e não demonstrado o cumprimento da obrigação nele contida, data maxima venia, carece a vertente execução de título executivoextrajudicial.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Ainda que o embargado se funde na letra inciso II do art. 784 do CPC, a cobrança de comissão de corretagem não encontra suporte em título de obrigação líquida, certa e exigível, afrontando, assim, o  art. 786 doCPC.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Demais disso, o embargado não fez prova do cumprimento das suas obrigações na suposta qualidade de credor (art. 798, I, “d”, do CPC).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jurisprudência não diverge a este respeito, o que se infere dos julgados que se anexae cujas ementas são abaixo transcritas (documentos 4 e 5):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4"/>
          <w:i/>
          <w:sz w:val="24"/>
          <w:i/>
          <w:szCs w:val="24"/>
        </w:rPr>
      </w:pPr>
      <w:r>
        <w:rPr>
          <w:rFonts w:ascii="Times New Roman" w:hAnsi="Times New Roman"/>
          <w:i/>
          <w:iCs/>
          <w:sz w:val="28"/>
          <w:szCs w:val="28"/>
        </w:rPr>
        <w:t>Tribunal de Justiça de São Paulo. “Contrato de corretagem. Ação de execução. Título executivo. Ausência. Decisão mantida. Recurso improvido. Não há falar-se, no caso, em título executivo extrajudicial, a resultar incorreta a via eleita pelo requerente. Seria caso de reclamar o crédito em sede de ação de cobrança própria” (1076407- 70.2013.8.26.0100  – Apelação/Corretagem  – Relator(a):  ArmandoToledo</w:t>
      </w:r>
      <w:r/>
    </w:p>
    <w:p>
      <w:pPr>
        <w:pStyle w:val="Normal"/>
        <w:jc w:val="both"/>
        <w:rPr>
          <w:sz w:val="24"/>
          <w:i/>
          <w:sz w:val="24"/>
          <w:i/>
          <w:szCs w:val="24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>Comarca: São Paulo – Órgão julgador: 31ª Câmara de Direito Privado – Data do julgamento: 15.04.2014 – Data de registro:   17.04.2014).</w:t>
      </w:r>
      <w:r/>
    </w:p>
    <w:p>
      <w:pPr>
        <w:pStyle w:val="Normal"/>
        <w:jc w:val="both"/>
        <w:rPr>
          <w:sz w:val="24"/>
          <w:i/>
          <w:sz w:val="24"/>
          <w:i/>
          <w:szCs w:val="24"/>
        </w:rPr>
      </w:pPr>
      <w:r>
        <w:rPr>
          <w:rFonts w:ascii="Times New Roman" w:hAnsi="Times New Roman"/>
          <w:i/>
          <w:iCs/>
          <w:sz w:val="28"/>
          <w:szCs w:val="28"/>
        </w:rPr>
        <w:t>Tribunal de Justiça de São Paulo. “Execução detítulo executivo extrajudicial corretagem ausência de título executivo líquido, certo e exigível. Contrato bilateral que, para que possa ser tido como título extrajudicial, depende da demonstração da contraprestação do credor. In casu, contraprestação do corretor que se resume à participação deproposta aceita. Precedentes do STJ que entendem que  tais circunstâncias não configuramaproximação útil a ensejar direito à comissão. Negado provimento”(0028689-26.2009.8.26.0071 – Apelação/Corretagem – Relator(a): Hugo Crepaldi – Comarca: Bauru – Órgão julgador: 25ª Câmara de Direito Privado – Data do julgamento: 07.08.2014 – Data de registro:  07.08.2014).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Isto   posto,  tendo  em  vista  a  inadequação  da  via  eleita      pelo Embargado, requer seja este declarado carecedor da ação executiva, devendo este MM. Juízo extinguir a vertente execução.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</w:rPr>
        <w:t>VERDADE DOS FATOS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execução, in casu, pauta-se em (...) Esta é a realidade.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1"/>
        </w:numPr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DIREITO – FALTA DE CONDIÇÃO DA AÇÃO DE EXECUÇÃO – AUSÊNCIA DE TÍTULO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execução embargada padece pela ausência de sua condição básica, tendo em vista que o documento que a fundamenta se trata de “instrumento particular de contrato de compromisso de compra e venda” (fls... da execução – documento 2) que, tendo o exequente apenas como anuente, não configura título executivo extrajudicial.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Ainda que o embargado se paute na letra inciso II do art. 784 do CPC, a cobrança de comissão de corretagem obrigatoriamente deve fundar-se em título de obrigação líquida, certa e exigível, em atenção ao art. 783 do CPC.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Logo, a via eleita pelo Embargado é inadequada, pois deveria ter distribuído ação ordinária de cobrança.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Desta feita, a execução deve ser extinta, haja a vista a ausência de caráter executivo ao documento que a fundamenta (art. 784, II, do CPC).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EFEITO SUSPENSIVO PLEITEADO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Os embargos à execução de título extrajudicial não são recebidos sob efeito devolutivo, via de regra, em razão do art. 919, § 1º, do Código de Processo Civil, mostrando-se a sua concessão em situações excepcionais e desde que garantida a execução por penhora, depósito ou caução suficiente.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À toda evidência, no presente caso o embargado utiliza a via inadequada para cobrar o que entende ser-lhe devido.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Outrossim, o bem imóvel indicado à penhora, cuja matrícula segue anexa (documento 3), mostra-se suficiente a garantir a execução.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Assim,  a  suspensão  não  trará  prejuízos  ao  embargado,  mas    o prosseguimento da execução nos termos em que foi proposta coloca a embargante, empresa séria, atuante na construção  e  incorporação civil há mais de quarenta anos, em situação de risco de difícil ou incerta reparação, posto que já tem seus negócios prejudicados pela atitude desairosa do embargante.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Isto posto, a concessão do efeito suspensivo, com fundamento no § 1º do art. 919 do CPC é medida que se impõe e desde já se requer.</w:t>
      </w:r>
      <w:r/>
    </w:p>
    <w:p>
      <w:pPr>
        <w:pStyle w:val="Ttulo2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PEDIDOS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Ante todo o exposto, pelo recebimento destes Embargos  à Execução no efeito suspensivo, requer seja o exequente-embargado declarado carecedor das condições da ação de execução por inexequibilidade do título e inexigibilidade da obrigação, devendo a vertente execução ser extinta, o que se requer com supedâneo no art. 917, I, do CPC, condenando o embargado nas custas ehonorários.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Protesta-se pela produção de todos os meios de prova em direito admitidos.</w:t>
      </w:r>
      <w:r/>
    </w:p>
    <w:p>
      <w:pPr>
        <w:pStyle w:val="Corpodotexto"/>
        <w:ind w:left="108" w:hanging="0"/>
        <w:jc w:val="left"/>
      </w:pPr>
      <w:r>
        <w:rPr/>
        <w:tab/>
        <w:tab/>
        <w:tab/>
      </w:r>
      <w:r>
        <w:rPr>
          <w:rFonts w:ascii="Times New Roman" w:hAnsi="Times New Roman"/>
        </w:rPr>
        <w:t>Valor da causa (...)</w:t>
      </w:r>
      <w:r/>
    </w:p>
    <w:p>
      <w:pPr>
        <w:pStyle w:val="Corpodotexto"/>
        <w:ind w:left="108" w:hanging="0"/>
        <w:jc w:val="center"/>
        <w:rPr>
          <w:sz w:val="27"/>
          <w:sz w:val="27"/>
          <w:szCs w:val="27"/>
          <w:rFonts w:ascii="Arial" w:hAnsi="Arial" w:eastAsia="Arial" w:cs="Arial"/>
          <w:lang w:val="en-US"/>
        </w:rPr>
      </w:pPr>
      <w:r>
        <w:rPr/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"/>
      <w:lvlJc w:val="left"/>
      <w:pPr>
        <w:ind w:left="108" w:hanging="151"/>
      </w:pPr>
      <w:rPr>
        <w:sz w:val="27"/>
        <w:b/>
        <w:szCs w:val="27"/>
        <w:bCs/>
        <w:w w:val="100"/>
      </w:rPr>
    </w:lvl>
    <w:lvl w:ilvl="1">
      <w:start w:val="1"/>
      <w:numFmt w:val="bullet"/>
      <w:lvlText w:val=""/>
      <w:lvlJc w:val="left"/>
      <w:pPr>
        <w:ind w:left="956" w:hanging="1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13" w:hanging="1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69" w:hanging="1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26" w:hanging="1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82" w:hanging="1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39" w:hanging="1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95" w:hanging="1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52" w:hanging="15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8c22b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8c22b7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8c22b7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8c22b7"/>
    <w:rPr>
      <w:rFonts w:ascii="Arial" w:hAnsi="Arial" w:eastAsia="Arial" w:cs="Arial"/>
      <w:sz w:val="27"/>
      <w:szCs w:val="27"/>
      <w:lang w:val="en-US"/>
    </w:rPr>
  </w:style>
  <w:style w:type="character" w:styleId="ListLabel1">
    <w:name w:val="ListLabel 1"/>
    <w:rPr>
      <w:rFonts w:eastAsia="Arial" w:cs="Arial"/>
      <w:b/>
      <w:bCs/>
      <w:w w:val="100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8c22b7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Rodap">
    <w:name w:val="Rodapé"/>
    <w:basedOn w:val="Normal"/>
    <w:pPr/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Application>LibreOffice/4.3.0.4$Windows_x86 LibreOffice_project/62ad5818884a2fc2e5780dd45466868d41009ec0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2016-03-16T21:55:00Z</dcterms:created>
  <dc:creator>Jessica Medeiros</dc:creator>
  <dc:language>pt-BR</dc:language>
  <dcterms:modified xsi:type="dcterms:W3CDTF">2016-03-18T13:44:40Z</dcterms:modified>
  <cp:revision>3</cp:revision>
</cp:coreProperties>
</file>